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Ripple Effect Mapping Resources </w:t>
      </w:r>
    </w:p>
    <w:p w:rsidR="00000000" w:rsidDel="00000000" w:rsidP="00000000" w:rsidRDefault="00000000" w:rsidRPr="00000000" w14:paraId="00000002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Handbooks: </w:t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Chazdon, S., Emery, M., Hansen, D., Higgins, L., &amp; Sero, R. (2017). </w:t>
      </w:r>
      <w:r w:rsidDel="00000000" w:rsidR="00000000" w:rsidRPr="00000000">
        <w:rPr>
          <w:i w:val="1"/>
          <w:rtl w:val="0"/>
        </w:rPr>
        <w:t xml:space="preserve">A Field Guide to Ripple </w:t>
      </w:r>
    </w:p>
    <w:p w:rsidR="00000000" w:rsidDel="00000000" w:rsidP="00000000" w:rsidRDefault="00000000" w:rsidRPr="00000000" w14:paraId="00000004">
      <w:pPr>
        <w:spacing w:line="48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i w:val="1"/>
          <w:rtl w:val="0"/>
        </w:rPr>
        <w:t xml:space="preserve">Effects Mapping</w:t>
      </w:r>
      <w:r w:rsidDel="00000000" w:rsidR="00000000" w:rsidRPr="00000000">
        <w:rPr>
          <w:rtl w:val="0"/>
        </w:rPr>
        <w:t xml:space="preserve">. University of Minnesota Libraries Publishing.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http://conservancy.umn.edu/handle/11299/190639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Meyerhoff, L. (2020). Cornell University: Ripple effect mapping. Urbana, IL: National Institute for </w:t>
      </w:r>
    </w:p>
    <w:p w:rsidR="00000000" w:rsidDel="00000000" w:rsidP="00000000" w:rsidRDefault="00000000" w:rsidRPr="00000000" w14:paraId="00000006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Learning Outcomes Assessment, Council for the Advancement of Standards in Higher Education, and Campus Labs.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https://www.learningoutcomesassessment.org/wp-content/uploads/2020/06/Cornell-Equity-Case.pdf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Methodological Articles: 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Emery, M., Higgins, L., Chazdon, S., &amp; Hansen, D. (2015). Using Ripple Effect Mapping to </w:t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Evaluate Program Impact: Choosing or Combining the Methods That Work Best for You. </w:t>
      </w:r>
      <w:r w:rsidDel="00000000" w:rsidR="00000000" w:rsidRPr="00000000">
        <w:rPr>
          <w:i w:val="1"/>
          <w:rtl w:val="0"/>
        </w:rPr>
        <w:t xml:space="preserve">The Journal of Extension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53</w:t>
      </w:r>
      <w:r w:rsidDel="00000000" w:rsidR="00000000" w:rsidRPr="00000000">
        <w:rPr>
          <w:rtl w:val="0"/>
        </w:rPr>
        <w:t xml:space="preserve">(2).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https://doi.org/10.34068/joe.53.02.28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Kollock, D., Flage, L., Chazdon, S., Paine, N., &amp; Higgins, L. (2012). Ripple Effect Mapping: A </w:t>
      </w:r>
    </w:p>
    <w:p w:rsidR="00000000" w:rsidDel="00000000" w:rsidP="00000000" w:rsidRDefault="00000000" w:rsidRPr="00000000" w14:paraId="0000000B">
      <w:pPr>
        <w:spacing w:line="48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“Radiant” Way to Capture Program Impacts. </w:t>
      </w:r>
      <w:r w:rsidDel="00000000" w:rsidR="00000000" w:rsidRPr="00000000">
        <w:rPr>
          <w:i w:val="1"/>
          <w:rtl w:val="0"/>
        </w:rPr>
        <w:t xml:space="preserve">The Journal of Extension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50</w:t>
      </w:r>
      <w:r w:rsidDel="00000000" w:rsidR="00000000" w:rsidRPr="00000000">
        <w:rPr>
          <w:rtl w:val="0"/>
        </w:rPr>
        <w:t xml:space="preserve">(5).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https://doi.org/10.34068/joe.50.05.33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Nobles, J., Wheeler, J., Dunleavy-Harris, K., Holmes, R., Inman-Ward, A., Potts, A., Hall, J., </w:t>
      </w:r>
    </w:p>
    <w:p w:rsidR="00000000" w:rsidDel="00000000" w:rsidP="00000000" w:rsidRDefault="00000000" w:rsidRPr="00000000" w14:paraId="0000000D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Redwood, S., Jago, R., &amp; Foster, C. (2022). Ripple effects mapping: Capturing the wider impacts of systems change efforts in public health. </w:t>
      </w:r>
      <w:r w:rsidDel="00000000" w:rsidR="00000000" w:rsidRPr="00000000">
        <w:rPr>
          <w:i w:val="1"/>
          <w:rtl w:val="0"/>
        </w:rPr>
        <w:t xml:space="preserve">BMC Medical Research Methodology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(1), 72.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https://doi.org/10.1186/s12874-022-01570-4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Peterson, C., &amp; Skolits, G. (2019). Evaluating unintended program outcomes through Ripple </w:t>
      </w:r>
    </w:p>
    <w:p w:rsidR="00000000" w:rsidDel="00000000" w:rsidP="00000000" w:rsidRDefault="00000000" w:rsidRPr="00000000" w14:paraId="0000000F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Effects Mapping (REM): Application of REM using grounded theory. </w:t>
      </w:r>
      <w:r w:rsidDel="00000000" w:rsidR="00000000" w:rsidRPr="00000000">
        <w:rPr>
          <w:i w:val="1"/>
          <w:rtl w:val="0"/>
        </w:rPr>
        <w:t xml:space="preserve">Evaluation and Program Planning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76</w:t>
      </w:r>
      <w:r w:rsidDel="00000000" w:rsidR="00000000" w:rsidRPr="00000000">
        <w:rPr>
          <w:rtl w:val="0"/>
        </w:rPr>
        <w:t xml:space="preserve">, 101677.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https://doi.org/10.1016/j.evalprogplan.2019.101677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i w:val="1"/>
        </w:rPr>
      </w:pPr>
      <w:r w:rsidDel="00000000" w:rsidR="00000000" w:rsidRPr="00000000">
        <w:rPr>
          <w:rtl w:val="0"/>
        </w:rPr>
        <w:t xml:space="preserve">Sero, R., Hansen, D., &amp; Higgins, L. (n.d.). </w:t>
      </w:r>
      <w:r w:rsidDel="00000000" w:rsidR="00000000" w:rsidRPr="00000000">
        <w:rPr>
          <w:i w:val="1"/>
          <w:rtl w:val="0"/>
        </w:rPr>
        <w:t xml:space="preserve">In-Depth Ripple Effects Mapping: A Participatory </w:t>
      </w:r>
    </w:p>
    <w:p w:rsidR="00000000" w:rsidDel="00000000" w:rsidP="00000000" w:rsidRDefault="00000000" w:rsidRPr="00000000" w14:paraId="00000011">
      <w:pPr>
        <w:spacing w:line="480" w:lineRule="auto"/>
        <w:ind w:firstLine="720"/>
        <w:rPr/>
      </w:pPr>
      <w:r w:rsidDel="00000000" w:rsidR="00000000" w:rsidRPr="00000000">
        <w:rPr>
          <w:i w:val="1"/>
          <w:rtl w:val="0"/>
        </w:rPr>
        <w:t xml:space="preserve">Evaluation Tool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Wheeldon, J. (2011). Is a Picture Worth a Thousand Words? Using Mind Maps to Facilitate </w:t>
      </w:r>
    </w:p>
    <w:p w:rsidR="00000000" w:rsidDel="00000000" w:rsidP="00000000" w:rsidRDefault="00000000" w:rsidRPr="00000000" w14:paraId="00000013">
      <w:pPr>
        <w:spacing w:line="48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Participant Recall in Qualitative Research. </w:t>
      </w:r>
      <w:r w:rsidDel="00000000" w:rsidR="00000000" w:rsidRPr="00000000">
        <w:rPr>
          <w:i w:val="1"/>
          <w:rtl w:val="0"/>
        </w:rPr>
        <w:t xml:space="preserve">Qualitative Report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(2), 509–522.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Articles: </w:t>
      </w:r>
    </w:p>
    <w:p w:rsidR="00000000" w:rsidDel="00000000" w:rsidP="00000000" w:rsidRDefault="00000000" w:rsidRPr="00000000" w14:paraId="00000016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Ernst, J., Underwood, C., Wojciehowski, M., &amp; Nayquonabe, T. (2024). Empathy </w:t>
      </w:r>
    </w:p>
    <w:p w:rsidR="00000000" w:rsidDel="00000000" w:rsidP="00000000" w:rsidRDefault="00000000" w:rsidRPr="00000000" w14:paraId="00000017">
      <w:pPr>
        <w:spacing w:line="48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Capacity-Building through a Community of Practice Approach: Exploring Perceived Impacts and Implications. </w:t>
      </w:r>
      <w:r w:rsidDel="00000000" w:rsidR="00000000" w:rsidRPr="00000000">
        <w:rPr>
          <w:i w:val="1"/>
          <w:rtl w:val="0"/>
        </w:rPr>
        <w:t xml:space="preserve">Journal of Zoological and Botanical Gardens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(3), Article 3.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https://doi.org/10.3390/jzbg5030027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34068/joe.50.05.33" TargetMode="External"/><Relationship Id="rId10" Type="http://schemas.openxmlformats.org/officeDocument/2006/relationships/hyperlink" Target="https://doi.org/10.34068/joe.53.02.28" TargetMode="External"/><Relationship Id="rId13" Type="http://schemas.openxmlformats.org/officeDocument/2006/relationships/hyperlink" Target="https://doi.org/10.1186/s12874-022-01570-4" TargetMode="External"/><Relationship Id="rId12" Type="http://schemas.openxmlformats.org/officeDocument/2006/relationships/hyperlink" Target="https://doi.org/10.34068/joe.50.05.3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4068/joe.53.02.28" TargetMode="External"/><Relationship Id="rId15" Type="http://schemas.openxmlformats.org/officeDocument/2006/relationships/hyperlink" Target="https://doi.org/10.1016/j.evalprogplan.2019.101677" TargetMode="External"/><Relationship Id="rId14" Type="http://schemas.openxmlformats.org/officeDocument/2006/relationships/hyperlink" Target="https://doi.org/10.1186/s12874-022-01570-4" TargetMode="External"/><Relationship Id="rId17" Type="http://schemas.openxmlformats.org/officeDocument/2006/relationships/hyperlink" Target="https://doi.org/10.3390/jzbg5030027" TargetMode="External"/><Relationship Id="rId16" Type="http://schemas.openxmlformats.org/officeDocument/2006/relationships/hyperlink" Target="https://doi.org/10.1016/j.evalprogplan.2019.101677" TargetMode="External"/><Relationship Id="rId5" Type="http://schemas.openxmlformats.org/officeDocument/2006/relationships/styles" Target="styles.xml"/><Relationship Id="rId6" Type="http://schemas.openxmlformats.org/officeDocument/2006/relationships/hyperlink" Target="http://conservancy.umn.edu/handle/11299/190639" TargetMode="External"/><Relationship Id="rId18" Type="http://schemas.openxmlformats.org/officeDocument/2006/relationships/hyperlink" Target="https://doi.org/10.3390/jzbg5030027" TargetMode="External"/><Relationship Id="rId7" Type="http://schemas.openxmlformats.org/officeDocument/2006/relationships/hyperlink" Target="http://conservancy.umn.edu/handle/11299/190639" TargetMode="External"/><Relationship Id="rId8" Type="http://schemas.openxmlformats.org/officeDocument/2006/relationships/hyperlink" Target="https://www.learningoutcomesassessment.org/wp-content/uploads/2020/06/Cornell-Equity-Ca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